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HEART RESERVE Postpartum Advocate</w:t>
      </w:r>
    </w:p>
    <w:p>
      <w:pPr>
        <w:pStyle w:val="Subtitle"/>
      </w:pPr>
      <w:r>
        <w:t>Paid health plan pilot proposal</w:t>
      </w:r>
    </w:p>
    <w:p>
      <w:r>
        <w:rPr>
          <w:sz w:val="18"/>
        </w:rPr>
        <w:t>Lisa Zahakos, RPA-C | Founder, HEART RESERVE | October 22, 2026</w:t>
      </w:r>
    </w:p>
    <w:p>
      <w:r>
        <w:t>I am seeking a health plan and clinical partner for a paid pilot supporting members for 90 days after discharge for pregnancy-related hypertension or preeclampsia. The purchasing question is whether clearer instructions and documented follow-through improve completed care at an acceptable total cost compared with the services members already receive.</w:t>
      </w:r>
    </w:p>
    <w:p>
      <w:pPr>
        <w:pStyle w:val="Heading2"/>
      </w:pPr>
      <w:r>
        <w:t>What the service would add</w:t>
      </w:r>
    </w:p>
    <w:p>
      <w:r>
        <w:t>The proposed contribution is a verified recovery plan, a check that the member understands it, and help carrying each needed action through to a documented outcome. We would first map the plan's existing maternity services and identify a specific gap to test.</w:t>
      </w:r>
    </w:p>
    <w:tbl>
      <w:tblPr>
        <w:tblW w:type="auto" w:w="0"/>
        <w:jc w:val="center"/>
        <w:tblLayout w:type="fixed"/>
        <w:tblLook w:firstColumn="1" w:firstRow="1" w:lastColumn="0" w:lastRow="0" w:noHBand="0" w:noVBand="1" w:val="04A0"/>
      </w:tblPr>
      <w:tblGrid>
        <w:gridCol w:w="2232"/>
        <w:gridCol w:w="7934"/>
      </w:tblGrid>
      <w:tr>
        <w:trPr>
          <w:tblHeader/>
          <w:cantSplit/>
        </w:trPr>
        <w:tc>
          <w:tcPr>
            <w:tcW w:type="dxa" w:w="2232"/>
            <w:vAlign w:val="center"/>
            <w:shd w:fill="333333"/>
            <w:tcMar>
              <w:top w:w="85" w:type="dxa"/>
              <w:bottom w:w="85" w:type="dxa"/>
              <w:left w:w="100" w:type="dxa"/>
              <w:right w:w="100" w:type="dxa"/>
            </w:tcMar>
            <w:tcBorders>
              <w:top w:val="single" w:sz="4" w:color="D9D9D9"/>
              <w:left w:val="single" w:sz="4" w:color="D9D9D9"/>
              <w:bottom w:val="single" w:sz="4" w:color="D9D9D9"/>
              <w:right w:val="single" w:sz="4" w:color="D9D9D9"/>
            </w:tcBorders>
          </w:tcPr>
          <w:p>
            <w:pPr>
              <w:spacing w:after="20" w:line="240" w:lineRule="auto"/>
            </w:pPr>
            <w:r>
              <w:rPr>
                <w:b/>
                <w:color w:val="FFFFFF"/>
                <w:sz w:val="20"/>
              </w:rPr>
              <w:t>Member need</w:t>
            </w:r>
          </w:p>
        </w:tc>
        <w:tc>
          <w:tcPr>
            <w:tcW w:type="dxa" w:w="7934"/>
            <w:vAlign w:val="center"/>
            <w:shd w:fill="333333"/>
            <w:tcMar>
              <w:top w:w="85" w:type="dxa"/>
              <w:bottom w:w="85" w:type="dxa"/>
              <w:left w:w="100" w:type="dxa"/>
              <w:right w:w="100" w:type="dxa"/>
            </w:tcMar>
            <w:tcBorders>
              <w:top w:val="single" w:sz="4" w:color="D9D9D9"/>
              <w:left w:val="single" w:sz="4" w:color="D9D9D9"/>
              <w:bottom w:val="single" w:sz="4" w:color="D9D9D9"/>
              <w:right w:val="single" w:sz="4" w:color="D9D9D9"/>
            </w:tcBorders>
          </w:tcPr>
          <w:p>
            <w:pPr>
              <w:spacing w:after="20" w:line="240" w:lineRule="auto"/>
            </w:pPr>
            <w:r>
              <w:rPr>
                <w:b/>
                <w:color w:val="FFFFFF"/>
                <w:sz w:val="20"/>
              </w:rPr>
              <w:t>Proposed service and evidence</w:t>
            </w:r>
          </w:p>
        </w:tc>
      </w:tr>
      <w:tr>
        <w:trPr>
          <w:cantSplit/>
        </w:trPr>
        <w:tc>
          <w:tcPr>
            <w:tcW w:type="dxa" w:w="2232"/>
            <w:vAlign w:val="center"/>
            <w:shd w:fill="FFFFFF"/>
            <w:tcMar>
              <w:top w:w="85" w:type="dxa"/>
              <w:bottom w:w="85" w:type="dxa"/>
              <w:left w:w="100" w:type="dxa"/>
              <w:right w:w="100" w:type="dxa"/>
            </w:tcMar>
            <w:tcBorders>
              <w:top w:val="single" w:sz="4" w:color="D9D9D9"/>
              <w:left w:val="single" w:sz="4" w:color="D9D9D9"/>
              <w:bottom w:val="single" w:sz="4" w:color="D9D9D9"/>
              <w:right w:val="single" w:sz="4" w:color="D9D9D9"/>
            </w:tcBorders>
          </w:tcPr>
          <w:p>
            <w:pPr>
              <w:spacing w:after="20" w:line="240" w:lineRule="auto"/>
            </w:pPr>
            <w:r>
              <w:rPr>
                <w:b w:val="0"/>
                <w:color w:val="000000"/>
                <w:sz w:val="20"/>
              </w:rPr>
              <w:t>Understand today's plan</w:t>
            </w:r>
          </w:p>
        </w:tc>
        <w:tc>
          <w:tcPr>
            <w:tcW w:type="dxa" w:w="7934"/>
            <w:vAlign w:val="center"/>
            <w:shd w:fill="FFFFFF"/>
            <w:tcMar>
              <w:top w:w="85" w:type="dxa"/>
              <w:bottom w:w="85" w:type="dxa"/>
              <w:left w:w="100" w:type="dxa"/>
              <w:right w:w="100" w:type="dxa"/>
            </w:tcMar>
            <w:tcBorders>
              <w:top w:val="single" w:sz="4" w:color="D9D9D9"/>
              <w:left w:val="single" w:sz="4" w:color="D9D9D9"/>
              <w:bottom w:val="single" w:sz="4" w:color="D9D9D9"/>
              <w:right w:val="single" w:sz="4" w:color="D9D9D9"/>
            </w:tcBorders>
          </w:tcPr>
          <w:p>
            <w:pPr>
              <w:spacing w:after="20" w:line="240" w:lineRule="auto"/>
            </w:pPr>
            <w:r>
              <w:rPr>
                <w:b w:val="0"/>
                <w:color w:val="000000"/>
                <w:sz w:val="20"/>
              </w:rPr>
              <w:t>Explain verified discharge instructions in plain language; record the member's understanding and questions for clinical review.</w:t>
            </w:r>
          </w:p>
        </w:tc>
      </w:tr>
      <w:tr>
        <w:trPr>
          <w:cantSplit/>
        </w:trPr>
        <w:tc>
          <w:tcPr>
            <w:tcW w:type="dxa" w:w="2232"/>
            <w:vAlign w:val="center"/>
            <w:shd w:fill="F3F3F3"/>
            <w:tcMar>
              <w:top w:w="85" w:type="dxa"/>
              <w:bottom w:w="85" w:type="dxa"/>
              <w:left w:w="100" w:type="dxa"/>
              <w:right w:w="100" w:type="dxa"/>
            </w:tcMar>
            <w:tcBorders>
              <w:top w:val="single" w:sz="4" w:color="D9D9D9"/>
              <w:left w:val="single" w:sz="4" w:color="D9D9D9"/>
              <w:bottom w:val="single" w:sz="4" w:color="D9D9D9"/>
              <w:right w:val="single" w:sz="4" w:color="D9D9D9"/>
            </w:tcBorders>
          </w:tcPr>
          <w:p>
            <w:pPr>
              <w:spacing w:after="20" w:line="240" w:lineRule="auto"/>
            </w:pPr>
            <w:r>
              <w:rPr>
                <w:b w:val="0"/>
                <w:color w:val="000000"/>
                <w:sz w:val="20"/>
              </w:rPr>
              <w:t>Get the recommended care</w:t>
            </w:r>
          </w:p>
        </w:tc>
        <w:tc>
          <w:tcPr>
            <w:tcW w:type="dxa" w:w="7934"/>
            <w:vAlign w:val="center"/>
            <w:shd w:fill="F3F3F3"/>
            <w:tcMar>
              <w:top w:w="85" w:type="dxa"/>
              <w:bottom w:w="85" w:type="dxa"/>
              <w:left w:w="100" w:type="dxa"/>
              <w:right w:w="100" w:type="dxa"/>
            </w:tcMar>
            <w:tcBorders>
              <w:top w:val="single" w:sz="4" w:color="D9D9D9"/>
              <w:left w:val="single" w:sz="4" w:color="D9D9D9"/>
              <w:bottom w:val="single" w:sz="4" w:color="D9D9D9"/>
              <w:right w:val="single" w:sz="4" w:color="D9D9D9"/>
            </w:tcBorders>
          </w:tcPr>
          <w:p>
            <w:pPr>
              <w:spacing w:after="20" w:line="240" w:lineRule="auto"/>
            </w:pPr>
            <w:r>
              <w:rPr>
                <w:b w:val="0"/>
                <w:color w:val="000000"/>
                <w:sz w:val="20"/>
              </w:rPr>
              <w:t>Assign medication, scheduling or transport barriers to a named team member. Keep the task open until its outcome is documented.</w:t>
            </w:r>
          </w:p>
        </w:tc>
      </w:tr>
      <w:tr>
        <w:trPr>
          <w:cantSplit/>
        </w:trPr>
        <w:tc>
          <w:tcPr>
            <w:tcW w:type="dxa" w:w="2232"/>
            <w:vAlign w:val="center"/>
            <w:shd w:fill="FFFFFF"/>
            <w:tcMar>
              <w:top w:w="85" w:type="dxa"/>
              <w:bottom w:w="85" w:type="dxa"/>
              <w:left w:w="100" w:type="dxa"/>
              <w:right w:w="100" w:type="dxa"/>
            </w:tcMar>
            <w:tcBorders>
              <w:top w:val="single" w:sz="4" w:color="D9D9D9"/>
              <w:left w:val="single" w:sz="4" w:color="D9D9D9"/>
              <w:bottom w:val="single" w:sz="4" w:color="D9D9D9"/>
              <w:right w:val="single" w:sz="4" w:color="D9D9D9"/>
            </w:tcBorders>
          </w:tcPr>
          <w:p>
            <w:pPr>
              <w:spacing w:after="20" w:line="240" w:lineRule="auto"/>
            </w:pPr>
            <w:r>
              <w:rPr>
                <w:b w:val="0"/>
                <w:color w:val="000000"/>
                <w:sz w:val="20"/>
              </w:rPr>
              <w:t>Reach clinical help</w:t>
            </w:r>
          </w:p>
        </w:tc>
        <w:tc>
          <w:tcPr>
            <w:tcW w:type="dxa" w:w="7934"/>
            <w:vAlign w:val="center"/>
            <w:shd w:fill="FFFFFF"/>
            <w:tcMar>
              <w:top w:w="85" w:type="dxa"/>
              <w:bottom w:w="85" w:type="dxa"/>
              <w:left w:w="100" w:type="dxa"/>
              <w:right w:w="100" w:type="dxa"/>
            </w:tcMar>
            <w:tcBorders>
              <w:top w:val="single" w:sz="4" w:color="D9D9D9"/>
              <w:left w:val="single" w:sz="4" w:color="D9D9D9"/>
              <w:bottom w:val="single" w:sz="4" w:color="D9D9D9"/>
              <w:right w:val="single" w:sz="4" w:color="D9D9D9"/>
            </w:tcBorders>
          </w:tcPr>
          <w:p>
            <w:pPr>
              <w:spacing w:after="20" w:line="240" w:lineRule="auto"/>
            </w:pPr>
            <w:r>
              <w:rPr>
                <w:b w:val="0"/>
                <w:color w:val="000000"/>
                <w:sz w:val="20"/>
              </w:rPr>
              <w:t>Provide hospital-approved urgent guidance and defined response coverage, including backup and after-hours routes.</w:t>
            </w:r>
          </w:p>
        </w:tc>
      </w:tr>
      <w:tr>
        <w:trPr>
          <w:cantSplit/>
        </w:trPr>
        <w:tc>
          <w:tcPr>
            <w:tcW w:type="dxa" w:w="2232"/>
            <w:vAlign w:val="center"/>
            <w:shd w:fill="F3F3F3"/>
            <w:tcMar>
              <w:top w:w="85" w:type="dxa"/>
              <w:bottom w:w="85" w:type="dxa"/>
              <w:left w:w="100" w:type="dxa"/>
              <w:right w:w="100" w:type="dxa"/>
            </w:tcMar>
            <w:tcBorders>
              <w:top w:val="single" w:sz="4" w:color="D9D9D9"/>
              <w:left w:val="single" w:sz="4" w:color="D9D9D9"/>
              <w:bottom w:val="single" w:sz="4" w:color="D9D9D9"/>
              <w:right w:val="single" w:sz="4" w:color="D9D9D9"/>
            </w:tcBorders>
          </w:tcPr>
          <w:p>
            <w:pPr>
              <w:spacing w:after="20" w:line="240" w:lineRule="auto"/>
            </w:pPr>
            <w:r>
              <w:rPr>
                <w:b w:val="0"/>
                <w:color w:val="000000"/>
                <w:sz w:val="20"/>
              </w:rPr>
              <w:t>Continue care</w:t>
            </w:r>
          </w:p>
        </w:tc>
        <w:tc>
          <w:tcPr>
            <w:tcW w:type="dxa" w:w="7934"/>
            <w:vAlign w:val="center"/>
            <w:shd w:fill="F3F3F3"/>
            <w:tcMar>
              <w:top w:w="85" w:type="dxa"/>
              <w:bottom w:w="85" w:type="dxa"/>
              <w:left w:w="100" w:type="dxa"/>
              <w:right w:w="100" w:type="dxa"/>
            </w:tcMar>
            <w:tcBorders>
              <w:top w:val="single" w:sz="4" w:color="D9D9D9"/>
              <w:left w:val="single" w:sz="4" w:color="D9D9D9"/>
              <w:bottom w:val="single" w:sz="4" w:color="D9D9D9"/>
              <w:right w:val="single" w:sz="4" w:color="D9D9D9"/>
            </w:tcBorders>
          </w:tcPr>
          <w:p>
            <w:pPr>
              <w:spacing w:after="20" w:line="240" w:lineRule="auto"/>
            </w:pPr>
            <w:r>
              <w:rPr>
                <w:b w:val="0"/>
                <w:color w:val="000000"/>
                <w:sz w:val="20"/>
              </w:rPr>
              <w:t>Prepare a dated Heart Story with pregnancy history, relevant results, medications and outstanding needs; document an accepted handoff.</w:t>
            </w:r>
          </w:p>
        </w:tc>
      </w:tr>
    </w:tbl>
    <w:p>
      <w:pPr>
        <w:spacing w:after="0"/>
      </w:pPr>
    </w:p>
    <w:p>
      <w:pPr>
        <w:pStyle w:val="Heading2"/>
      </w:pPr>
      <w:r>
        <w:t>Why I am building this</w:t>
      </w:r>
    </w:p>
    <w:p>
      <w:r>
        <w:t>I am Lisa Zahakos, RPA-C, a New Jersey physician assistant whose clinical career began in 2003, with experience in interventional cardiology, preventive medicine, psychiatry and addiction medicine. My complicated twin pregnancy and NICU experience led to years of patient-family advocacy. I bring that perspective to practical patient education and care transitions. My current CV is attached separately.</w:t>
      </w:r>
    </w:p>
    <w:p>
      <w:pPr>
        <w:pStyle w:val="Heading2"/>
      </w:pPr>
      <w:r>
        <w:t>What is available now</w:t>
      </w:r>
    </w:p>
    <w:p>
      <w:r>
        <w:t>HEART RESERVE has public Heart Story tools, articles, worksheets and a podcast, plus demonstrations of a dated health history, visit questions and a printable summary. The monitored service proposed here still requires a contracted platform, clinical delivery partner, configuration and validation. The demonstrations do not provide live AI, OCR, device integration or clinical monitoring.</w:t>
      </w:r>
    </w:p>
    <w:p>
      <w:r>
        <w:t>Please identify a maternal-health sponsor and budget owner for a 20-minute fit discussion and a paid scoping phase through my existing LLC. Website: heartreserve.blog | lisazahakos@gmail.com | 917-747-4537</w:t>
      </w:r>
    </w:p>
    <w:p>
      <w:r>
        <w:br w:type="page"/>
      </w:r>
    </w:p>
    <w:p>
      <w:pPr>
        <w:pStyle w:val="Heading1"/>
      </w:pPr>
      <w:r>
        <w:t>Pilot design and purchasing decision</w:t>
      </w:r>
    </w:p>
    <w:tbl>
      <w:tblPr>
        <w:tblW w:type="auto" w:w="0"/>
        <w:jc w:val="center"/>
        <w:tblLayout w:type="fixed"/>
        <w:tblLook w:firstColumn="1" w:firstRow="1" w:lastColumn="0" w:lastRow="0" w:noHBand="0" w:noVBand="1" w:val="04A0"/>
      </w:tblPr>
      <w:tblGrid>
        <w:gridCol w:w="2232"/>
        <w:gridCol w:w="7934"/>
      </w:tblGrid>
      <w:tr>
        <w:trPr>
          <w:tblHeader/>
          <w:cantSplit/>
        </w:trPr>
        <w:tc>
          <w:tcPr>
            <w:tcW w:type="dxa" w:w="2232"/>
            <w:vAlign w:val="center"/>
            <w:shd w:fill="333333"/>
            <w:tcMar>
              <w:top w:w="85" w:type="dxa"/>
              <w:bottom w:w="85" w:type="dxa"/>
              <w:left w:w="100" w:type="dxa"/>
              <w:right w:w="100" w:type="dxa"/>
            </w:tcMar>
            <w:tcBorders>
              <w:top w:val="single" w:sz="4" w:color="D9D9D9"/>
              <w:left w:val="single" w:sz="4" w:color="D9D9D9"/>
              <w:bottom w:val="single" w:sz="4" w:color="D9D9D9"/>
              <w:right w:val="single" w:sz="4" w:color="D9D9D9"/>
            </w:tcBorders>
          </w:tcPr>
          <w:p>
            <w:pPr>
              <w:spacing w:after="20" w:line="240" w:lineRule="auto"/>
            </w:pPr>
            <w:r>
              <w:rPr>
                <w:b/>
                <w:color w:val="FFFFFF"/>
                <w:sz w:val="20"/>
              </w:rPr>
              <w:t>Item</w:t>
            </w:r>
          </w:p>
        </w:tc>
        <w:tc>
          <w:tcPr>
            <w:tcW w:type="dxa" w:w="7934"/>
            <w:vAlign w:val="center"/>
            <w:shd w:fill="333333"/>
            <w:tcMar>
              <w:top w:w="85" w:type="dxa"/>
              <w:bottom w:w="85" w:type="dxa"/>
              <w:left w:w="100" w:type="dxa"/>
              <w:right w:w="100" w:type="dxa"/>
            </w:tcMar>
            <w:tcBorders>
              <w:top w:val="single" w:sz="4" w:color="D9D9D9"/>
              <w:left w:val="single" w:sz="4" w:color="D9D9D9"/>
              <w:bottom w:val="single" w:sz="4" w:color="D9D9D9"/>
              <w:right w:val="single" w:sz="4" w:color="D9D9D9"/>
            </w:tcBorders>
          </w:tcPr>
          <w:p>
            <w:pPr>
              <w:spacing w:after="20" w:line="240" w:lineRule="auto"/>
            </w:pPr>
            <w:r>
              <w:rPr>
                <w:b/>
                <w:color w:val="FFFFFF"/>
                <w:sz w:val="20"/>
              </w:rPr>
              <w:t>Proposed starting scope</w:t>
            </w:r>
          </w:p>
        </w:tc>
      </w:tr>
      <w:tr>
        <w:trPr>
          <w:cantSplit/>
        </w:trPr>
        <w:tc>
          <w:tcPr>
            <w:tcW w:type="dxa" w:w="2232"/>
            <w:vAlign w:val="center"/>
            <w:shd w:fill="FFFFFF"/>
            <w:tcMar>
              <w:top w:w="85" w:type="dxa"/>
              <w:bottom w:w="85" w:type="dxa"/>
              <w:left w:w="100" w:type="dxa"/>
              <w:right w:w="100" w:type="dxa"/>
            </w:tcMar>
            <w:tcBorders>
              <w:top w:val="single" w:sz="4" w:color="D9D9D9"/>
              <w:left w:val="single" w:sz="4" w:color="D9D9D9"/>
              <w:bottom w:val="single" w:sz="4" w:color="D9D9D9"/>
              <w:right w:val="single" w:sz="4" w:color="D9D9D9"/>
            </w:tcBorders>
          </w:tcPr>
          <w:p>
            <w:pPr>
              <w:spacing w:after="20" w:line="240" w:lineRule="auto"/>
            </w:pPr>
            <w:r>
              <w:rPr>
                <w:b w:val="0"/>
                <w:color w:val="000000"/>
                <w:sz w:val="20"/>
              </w:rPr>
              <w:t>Population and setting</w:t>
            </w:r>
          </w:p>
        </w:tc>
        <w:tc>
          <w:tcPr>
            <w:tcW w:type="dxa" w:w="7934"/>
            <w:vAlign w:val="center"/>
            <w:shd w:fill="FFFFFF"/>
            <w:tcMar>
              <w:top w:w="85" w:type="dxa"/>
              <w:bottom w:w="85" w:type="dxa"/>
              <w:left w:w="100" w:type="dxa"/>
              <w:right w:w="100" w:type="dxa"/>
            </w:tcMar>
            <w:tcBorders>
              <w:top w:val="single" w:sz="4" w:color="D9D9D9"/>
              <w:left w:val="single" w:sz="4" w:color="D9D9D9"/>
              <w:bottom w:val="single" w:sz="4" w:color="D9D9D9"/>
              <w:right w:val="single" w:sz="4" w:color="D9D9D9"/>
            </w:tcBorders>
          </w:tcPr>
          <w:p>
            <w:pPr>
              <w:spacing w:after="20" w:line="240" w:lineRule="auto"/>
            </w:pPr>
            <w:r>
              <w:rPr>
                <w:b w:val="0"/>
                <w:color w:val="000000"/>
                <w:sz w:val="20"/>
              </w:rPr>
              <w:t>One health plan and one participating hospital or clinical group. Include vaginal and cesarean births meeting the agreed hypertension criteria.</w:t>
            </w:r>
          </w:p>
        </w:tc>
      </w:tr>
      <w:tr>
        <w:trPr>
          <w:cantSplit/>
        </w:trPr>
        <w:tc>
          <w:tcPr>
            <w:tcW w:type="dxa" w:w="2232"/>
            <w:vAlign w:val="center"/>
            <w:shd w:fill="F3F3F3"/>
            <w:tcMar>
              <w:top w:w="85" w:type="dxa"/>
              <w:bottom w:w="85" w:type="dxa"/>
              <w:left w:w="100" w:type="dxa"/>
              <w:right w:w="100" w:type="dxa"/>
            </w:tcMar>
            <w:tcBorders>
              <w:top w:val="single" w:sz="4" w:color="D9D9D9"/>
              <w:left w:val="single" w:sz="4" w:color="D9D9D9"/>
              <w:bottom w:val="single" w:sz="4" w:color="D9D9D9"/>
              <w:right w:val="single" w:sz="4" w:color="D9D9D9"/>
            </w:tcBorders>
          </w:tcPr>
          <w:p>
            <w:pPr>
              <w:spacing w:after="20" w:line="240" w:lineRule="auto"/>
            </w:pPr>
            <w:r>
              <w:rPr>
                <w:b w:val="0"/>
                <w:color w:val="000000"/>
                <w:sz w:val="20"/>
              </w:rPr>
              <w:t>Sample and comparison</w:t>
            </w:r>
          </w:p>
        </w:tc>
        <w:tc>
          <w:tcPr>
            <w:tcW w:type="dxa" w:w="7934"/>
            <w:vAlign w:val="center"/>
            <w:shd w:fill="F3F3F3"/>
            <w:tcMar>
              <w:top w:w="85" w:type="dxa"/>
              <w:bottom w:w="85" w:type="dxa"/>
              <w:left w:w="100" w:type="dxa"/>
              <w:right w:w="100" w:type="dxa"/>
            </w:tcMar>
            <w:tcBorders>
              <w:top w:val="single" w:sz="4" w:color="D9D9D9"/>
              <w:left w:val="single" w:sz="4" w:color="D9D9D9"/>
              <w:bottom w:val="single" w:sz="4" w:color="D9D9D9"/>
              <w:right w:val="single" w:sz="4" w:color="D9D9D9"/>
            </w:tcBorders>
          </w:tcPr>
          <w:p>
            <w:pPr>
              <w:spacing w:after="20" w:line="240" w:lineRule="auto"/>
            </w:pPr>
            <w:r>
              <w:rPr>
                <w:b w:val="0"/>
                <w:color w:val="000000"/>
                <w:sz w:val="20"/>
              </w:rPr>
              <w:t>Up to 100 total participants; planning assumption of 50 program and 50 current-care participants. Agree allocation, oversight and risk adjustment before enrollment; preserve standard care in both groups.</w:t>
            </w:r>
          </w:p>
        </w:tc>
      </w:tr>
      <w:tr>
        <w:trPr>
          <w:cantSplit/>
        </w:trPr>
        <w:tc>
          <w:tcPr>
            <w:tcW w:type="dxa" w:w="2232"/>
            <w:vAlign w:val="center"/>
            <w:shd w:fill="FFFFFF"/>
            <w:tcMar>
              <w:top w:w="85" w:type="dxa"/>
              <w:bottom w:w="85" w:type="dxa"/>
              <w:left w:w="100" w:type="dxa"/>
              <w:right w:w="100" w:type="dxa"/>
            </w:tcMar>
            <w:tcBorders>
              <w:top w:val="single" w:sz="4" w:color="D9D9D9"/>
              <w:left w:val="single" w:sz="4" w:color="D9D9D9"/>
              <w:bottom w:val="single" w:sz="4" w:color="D9D9D9"/>
              <w:right w:val="single" w:sz="4" w:color="D9D9D9"/>
            </w:tcBorders>
          </w:tcPr>
          <w:p>
            <w:pPr>
              <w:spacing w:after="20" w:line="240" w:lineRule="auto"/>
            </w:pPr>
            <w:r>
              <w:rPr>
                <w:b w:val="0"/>
                <w:color w:val="000000"/>
                <w:sz w:val="20"/>
              </w:rPr>
              <w:t>Primary measure</w:t>
            </w:r>
          </w:p>
        </w:tc>
        <w:tc>
          <w:tcPr>
            <w:tcW w:type="dxa" w:w="7934"/>
            <w:vAlign w:val="center"/>
            <w:shd w:fill="FFFFFF"/>
            <w:tcMar>
              <w:top w:w="85" w:type="dxa"/>
              <w:bottom w:w="85" w:type="dxa"/>
              <w:left w:w="100" w:type="dxa"/>
              <w:right w:w="100" w:type="dxa"/>
            </w:tcMar>
            <w:tcBorders>
              <w:top w:val="single" w:sz="4" w:color="D9D9D9"/>
              <w:left w:val="single" w:sz="4" w:color="D9D9D9"/>
              <w:bottom w:val="single" w:sz="4" w:color="D9D9D9"/>
              <w:right w:val="single" w:sz="4" w:color="D9D9D9"/>
            </w:tcBorders>
          </w:tcPr>
          <w:p>
            <w:pPr>
              <w:spacing w:after="20" w:line="240" w:lineRule="auto"/>
            </w:pPr>
            <w:r>
              <w:rPr>
                <w:b w:val="0"/>
                <w:color w:val="000000"/>
                <w:sz w:val="20"/>
              </w:rPr>
              <w:t>Completion of the clinician-specified early BP evaluation by its due date. Distinguish a submitted reading from clinical review and patient-reported from verified completion.</w:t>
            </w:r>
          </w:p>
        </w:tc>
      </w:tr>
      <w:tr>
        <w:trPr>
          <w:cantSplit/>
        </w:trPr>
        <w:tc>
          <w:tcPr>
            <w:tcW w:type="dxa" w:w="2232"/>
            <w:vAlign w:val="center"/>
            <w:shd w:fill="F3F3F3"/>
            <w:tcMar>
              <w:top w:w="85" w:type="dxa"/>
              <w:bottom w:w="85" w:type="dxa"/>
              <w:left w:w="100" w:type="dxa"/>
              <w:right w:w="100" w:type="dxa"/>
            </w:tcMar>
            <w:tcBorders>
              <w:top w:val="single" w:sz="4" w:color="D9D9D9"/>
              <w:left w:val="single" w:sz="4" w:color="D9D9D9"/>
              <w:bottom w:val="single" w:sz="4" w:color="D9D9D9"/>
              <w:right w:val="single" w:sz="4" w:color="D9D9D9"/>
            </w:tcBorders>
          </w:tcPr>
          <w:p>
            <w:pPr>
              <w:spacing w:after="20" w:line="240" w:lineRule="auto"/>
            </w:pPr>
            <w:r>
              <w:rPr>
                <w:b w:val="0"/>
                <w:color w:val="000000"/>
                <w:sz w:val="20"/>
              </w:rPr>
              <w:t>Other measures</w:t>
            </w:r>
          </w:p>
        </w:tc>
        <w:tc>
          <w:tcPr>
            <w:tcW w:type="dxa" w:w="7934"/>
            <w:vAlign w:val="center"/>
            <w:shd w:fill="F3F3F3"/>
            <w:tcMar>
              <w:top w:w="85" w:type="dxa"/>
              <w:bottom w:w="85" w:type="dxa"/>
              <w:left w:w="100" w:type="dxa"/>
              <w:right w:w="100" w:type="dxa"/>
            </w:tcMar>
            <w:tcBorders>
              <w:top w:val="single" w:sz="4" w:color="D9D9D9"/>
              <w:left w:val="single" w:sz="4" w:color="D9D9D9"/>
              <w:bottom w:val="single" w:sz="4" w:color="D9D9D9"/>
              <w:right w:val="single" w:sz="4" w:color="D9D9D9"/>
            </w:tcBorders>
          </w:tcPr>
          <w:p>
            <w:pPr>
              <w:spacing w:after="20" w:line="240" w:lineRule="auto"/>
            </w:pPr>
            <w:r>
              <w:rPr>
                <w:b w:val="0"/>
                <w:color w:val="000000"/>
                <w:sz w:val="20"/>
              </w:rPr>
              <w:t>Medication access, resolved barriers, patient understanding, accepted handoffs, urgent-response performance and staff minutes. Track all eligible and offered members, including nonparticipants.</w:t>
            </w:r>
          </w:p>
        </w:tc>
      </w:tr>
      <w:tr>
        <w:trPr>
          <w:cantSplit/>
        </w:trPr>
        <w:tc>
          <w:tcPr>
            <w:tcW w:type="dxa" w:w="2232"/>
            <w:vAlign w:val="center"/>
            <w:shd w:fill="FFFFFF"/>
            <w:tcMar>
              <w:top w:w="85" w:type="dxa"/>
              <w:bottom w:w="85" w:type="dxa"/>
              <w:left w:w="100" w:type="dxa"/>
              <w:right w:w="100" w:type="dxa"/>
            </w:tcMar>
            <w:tcBorders>
              <w:top w:val="single" w:sz="4" w:color="D9D9D9"/>
              <w:left w:val="single" w:sz="4" w:color="D9D9D9"/>
              <w:bottom w:val="single" w:sz="4" w:color="D9D9D9"/>
              <w:right w:val="single" w:sz="4" w:color="D9D9D9"/>
            </w:tcBorders>
          </w:tcPr>
          <w:p>
            <w:pPr>
              <w:spacing w:after="20" w:line="240" w:lineRule="auto"/>
            </w:pPr>
            <w:r>
              <w:rPr>
                <w:b w:val="0"/>
                <w:color w:val="000000"/>
                <w:sz w:val="20"/>
              </w:rPr>
              <w:t>Economic evaluation</w:t>
            </w:r>
          </w:p>
        </w:tc>
        <w:tc>
          <w:tcPr>
            <w:tcW w:type="dxa" w:w="7934"/>
            <w:vAlign w:val="center"/>
            <w:shd w:fill="FFFFFF"/>
            <w:tcMar>
              <w:top w:w="85" w:type="dxa"/>
              <w:bottom w:w="85" w:type="dxa"/>
              <w:left w:w="100" w:type="dxa"/>
              <w:right w:w="100" w:type="dxa"/>
            </w:tcMar>
            <w:tcBorders>
              <w:top w:val="single" w:sz="4" w:color="D9D9D9"/>
              <w:left w:val="single" w:sz="4" w:color="D9D9D9"/>
              <w:bottom w:val="single" w:sz="4" w:color="D9D9D9"/>
              <w:right w:val="single" w:sz="4" w:color="D9D9D9"/>
            </w:tcBorders>
          </w:tcPr>
          <w:p>
            <w:pPr>
              <w:spacing w:after="20" w:line="240" w:lineRule="auto"/>
            </w:pPr>
            <w:r>
              <w:rPr>
                <w:b w:val="0"/>
                <w:color w:val="000000"/>
                <w:sz w:val="20"/>
              </w:rPr>
              <w:t>Compare maternal paid claims across facilities plus full incremental program costs. Show setup and recurring costs separately and avoid double counting. ED visits, readmissions and savings are exploratory.</w:t>
            </w:r>
          </w:p>
        </w:tc>
      </w:tr>
      <w:tr>
        <w:trPr>
          <w:cantSplit/>
        </w:trPr>
        <w:tc>
          <w:tcPr>
            <w:tcW w:type="dxa" w:w="2232"/>
            <w:vAlign w:val="center"/>
            <w:shd w:fill="F3F3F3"/>
            <w:tcMar>
              <w:top w:w="85" w:type="dxa"/>
              <w:bottom w:w="85" w:type="dxa"/>
              <w:left w:w="100" w:type="dxa"/>
              <w:right w:w="100" w:type="dxa"/>
            </w:tcMar>
            <w:tcBorders>
              <w:top w:val="single" w:sz="4" w:color="D9D9D9"/>
              <w:left w:val="single" w:sz="4" w:color="D9D9D9"/>
              <w:bottom w:val="single" w:sz="4" w:color="D9D9D9"/>
              <w:right w:val="single" w:sz="4" w:color="D9D9D9"/>
            </w:tcBorders>
          </w:tcPr>
          <w:p>
            <w:pPr>
              <w:spacing w:after="20" w:line="240" w:lineRule="auto"/>
            </w:pPr>
            <w:r>
              <w:rPr>
                <w:b w:val="0"/>
                <w:color w:val="000000"/>
                <w:sz w:val="20"/>
              </w:rPr>
              <w:t>Timing</w:t>
            </w:r>
          </w:p>
        </w:tc>
        <w:tc>
          <w:tcPr>
            <w:tcW w:type="dxa" w:w="7934"/>
            <w:vAlign w:val="center"/>
            <w:shd w:fill="F3F3F3"/>
            <w:tcMar>
              <w:top w:w="85" w:type="dxa"/>
              <w:bottom w:w="85" w:type="dxa"/>
              <w:left w:w="100" w:type="dxa"/>
              <w:right w:w="100" w:type="dxa"/>
            </w:tcMar>
            <w:tcBorders>
              <w:top w:val="single" w:sz="4" w:color="D9D9D9"/>
              <w:left w:val="single" w:sz="4" w:color="D9D9D9"/>
              <w:bottom w:val="single" w:sz="4" w:color="D9D9D9"/>
              <w:right w:val="single" w:sz="4" w:color="D9D9D9"/>
            </w:tcBorders>
          </w:tcPr>
          <w:p>
            <w:pPr>
              <w:spacing w:after="20" w:line="240" w:lineRule="auto"/>
            </w:pPr>
            <w:r>
              <w:rPr>
                <w:b w:val="0"/>
                <w:color w:val="000000"/>
                <w:sz w:val="20"/>
              </w:rPr>
              <w:t>Propose 12 months for setup, enrollment, 90-day follow-up and operational analysis. Allow a separate claims-payment runout before the final cost analysis.</w:t>
            </w:r>
          </w:p>
        </w:tc>
      </w:tr>
    </w:tbl>
    <w:p>
      <w:pPr>
        <w:spacing w:after="0"/>
      </w:pPr>
    </w:p>
    <w:p>
      <w:pPr>
        <w:pStyle w:val="Heading2"/>
      </w:pPr>
      <w:r>
        <w:t>Delivery and payment</w:t>
      </w:r>
    </w:p>
    <w:p>
      <w:r>
        <w:t>HEART RESERVE would supply the reviewed curriculum, understanding checks, task and handoff workflows, staff preparation and measurement definitions. A licensed technology partner would provide the platform. The hospital or clinical group would own assessment, treatment and response coverage. AI would support explanation and organization. Use a validated BP cuff and scope language, text and telephone access.</w:t>
      </w:r>
    </w:p>
    <w:p>
      <w:r>
        <w:t>The commercial proposal is a paid scoping and setup phase, followed by a quoted service fee per activated 90-day episode and separately identified evaluation costs. Define activation, staffing, devices, support, data access and service levels in writing. A qualified prime contractor may engage my LLC for an agreed paid program and licensing role. Members would have no separate HEART RESERVE subscription.</w:t>
      </w:r>
    </w:p>
    <w:p>
      <w:pPr>
        <w:pStyle w:val="Heading2"/>
      </w:pPr>
      <w:r>
        <w:t>The decision before expansion</w:t>
      </w:r>
    </w:p>
    <w:p>
      <w:r>
        <w:t>Before launch, agree targets for timely BP evaluation, completed care, safe response, member reach and affordable staff effort. Require tested urgent pathways, backup coverage and privacy and security approval. Expansion would depend on those results and an agreed recurring price. This feasibility pilot cannot establish mortality reduction or reliable savings from uncommon complications; a larger evaluation would be needed.</w:t>
      </w:r>
    </w:p>
    <w:p>
      <w:r>
        <w:t>The program could carry the purchaser's brand, subject to platform and contract terms. Partnerships and pricing remain subject to agreement; clinical outcomes have not been established. The first contract stays focused on postpartum hypertension; later pathways would require separate clinical and commercial justification.</w:t>
      </w:r>
    </w:p>
    <w:sectPr w:rsidR="00FC693F" w:rsidRPr="0006063C" w:rsidSect="00034616">
      <w:footerReference w:type="default" r:id="rId9"/>
      <w:pgSz w:w="12240" w:h="15840"/>
      <w:pgMar w:top="936" w:right="1037" w:bottom="936" w:left="1037"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HEART RESERVE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14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before="0"/>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HEART RESERVE Postpartum Advocate</dc:title>
  <dc:subject/>
  <dc:creator>Lisa Zahakos, RPA-C</dc:creator>
  <cp:keywords/>
  <dc:description>generated by python-docx</dc:description>
  <cp:lastModifiedBy/>
  <cp:revision>1</cp:revision>
  <dcterms:created xsi:type="dcterms:W3CDTF">2013-12-23T23:15:00Z</dcterms:created>
  <dcterms:modified xsi:type="dcterms:W3CDTF">2013-12-23T23:15:00Z</dcterms:modified>
  <cp:category/>
</cp:coreProperties>
</file>